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d852716d548c8" /></Relationships>
</file>

<file path=word/document.xml><?xml version="1.0" encoding="utf-8"?>
<w:document xmlns:w="http://schemas.openxmlformats.org/wordprocessingml/2006/main">
  <w:body>
    <w:sectPr>
      <w:headerReference xmlns:r="http://schemas.openxmlformats.org/officeDocument/2006/relationships" w:type="default" r:id="R5bf1c413f8d64574"/>
      <w:footerReference xmlns:r="http://schemas.openxmlformats.org/officeDocument/2006/relationships" w:type="default" r:id="Rbad0e4764b814a6b"/>
    </w:sectPr>
    <w:p>
      <w:pPr>
        <w:spacing w:before="480" w:after="0"/>
      </w:pPr>
    </w:p>
    <w:p>
      <w:pPr>
        <w:jc w:val="center"/>
      </w:pPr>
      <w:r>
        <w:drawing>
          <wp:inline xmlns:wp="http://schemas.openxmlformats.org/drawingml/2006/wordprocessingDrawing">
            <wp:extent cx="6604000" cy="3429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xmlns:r="http://schemas.openxmlformats.org/officeDocument/2006/relationships" r:embed="R591c39a344f44442"/>
                    <a:stretch>
                      <a:fillRect/>
                    </a:stretch>
                  </pic:blipFill>
                  <pic:spPr>
                    <a:xfrm>
                      <a:off x="0" y="0"/>
                      <a:ext cx="6604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0"/>
      </w:pPr>
    </w:p>
    <w:p>
      <w:pPr>
        <w:jc w:val="center"/>
        <w:spacing w:after="200"/>
      </w:pPr>
      <w:r>
        <w:rPr>
          <w:rFonts w:ascii="Segoe UI" w:hAnsi="Segoe UI"/>
          <w:color w:val="0284C7"/>
          <w:b/>
          <w:sz w:val="24"/>
        </w:rPr>
        <w:t>INFRAESTRUCTURA ELÉCTRICA | ALTA &amp; MEDIA TENSIÓN | ENERGÍA</w:t>
      </w:r>
    </w:p>
    <w:p>
      <w:pPr>
        <w:jc w:val="center"/>
        <w:spacing w:before="100" w:after="150"/>
      </w:pPr>
      <w:r>
        <w:rPr>
          <w:rFonts w:ascii="Segoe UI" w:hAnsi="Segoe UI"/>
          <w:color w:val="0F172A"/>
          <w:b/>
          <w:sz w:val="56"/>
        </w:rPr>
        <w:t>DOSSIER CORPORATIVO</w:t>
      </w:r>
    </w:p>
    <w:p>
      <w:pPr>
        <w:jc w:val="center"/>
        <w:spacing w:after="350"/>
      </w:pPr>
      <w:r>
        <w:rPr>
          <w:rFonts w:ascii="Segoe UI" w:hAnsi="Segoe UI"/>
          <w:color w:val="0284C7"/>
          <w:b/>
          <w:sz w:val="40"/>
        </w:rPr>
        <w:t>PORTAFOLIO &amp; CURRÍCULUM DE OBRAS 2026</w:t>
      </w:r>
    </w:p>
    <w:p>
      <w:pPr>
        <w:jc w:val="center"/>
        <w:spacing w:after="800"/>
      </w:pPr>
      <w:r>
        <w:rPr>
          <w:rFonts w:ascii="Segoe UI" w:hAnsi="Segoe UI"/>
          <w:color w:val="64748B"/>
          <w:i/>
          <w:sz w:val="24"/>
        </w:rPr>
        <w:t>“Energía que Impulsa Resultados y Genera Crecimiento”</w:t>
      </w:r>
    </w:p>
    <w:tbl>
      <w:tblPr>
        <w:tblW w:w="9600" w:type="dxa"/>
        <w:jc w:val="center"/>
        <w:tblBorders>
          <w:top w:val="single" w:color="0284C7" w:sz="12"/>
          <w:bottom w:val="single" w:color="0284C7" w:sz="12"/>
          <w:left w:val="none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200"/>
              <w:bottom w:w="200"/>
              <w:left w:w="300"/>
              <w:right w:w="300"/>
            </w:tcMar>
          </w:tcPr>
          <w:p>
            <w:pPr>
              <w:jc w:val="center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Razón Social:</w:t>
            </w:r>
            <w:r>
              <w:rPr>
                <w:rFonts w:ascii="Segoe UI"/>
                <w:color w:val="334155"/>
                <w:sz w:val="19"/>
              </w:rPr>
              <w:t> Proveedora e Importadora VALAN S.A. de C.V.</w:t>
            </w:r>
          </w:p>
          <w:p>
            <w:pPr>
              <w:jc w:val="center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RFC:</w:t>
            </w:r>
            <w:r>
              <w:rPr>
                <w:rFonts w:ascii="Segoe UI"/>
                <w:color w:val="334155"/>
                <w:sz w:val="19"/>
              </w:rPr>
              <w:t> PIV020914774</w:t>
            </w:r>
          </w:p>
          <w:p>
            <w:pPr>
              <w:jc w:val="center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Sede Central:</w:t>
            </w:r>
            <w:r>
              <w:rPr>
                <w:rFonts w:ascii="Segoe UI"/>
                <w:color w:val="334155"/>
                <w:sz w:val="19"/>
              </w:rPr>
              <w:t> Manuel Z. Cubillas # 135, Col. Fuentes del Centenario, Hermosillo, Sonora</w:t>
            </w:r>
          </w:p>
          <w:p>
            <w:pPr>
              <w:jc w:val="center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Contacto Oficial:</w:t>
            </w:r>
            <w:r>
              <w:rPr>
                <w:rFonts w:ascii="Segoe UI"/>
                <w:color w:val="334155"/>
                <w:sz w:val="19"/>
              </w:rPr>
              <w:t> (662) 212-1435  |  contacto@pivalan.com  |  www.pivalan.com</w:t>
            </w:r>
          </w:p>
          <w:p>
            <w:pPr>
              <w:jc w:val="center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Acreditación:</w:t>
            </w:r>
            <w:r>
              <w:rPr>
                <w:rFonts w:ascii="Segoe UI"/>
                <w:color w:val="334155"/>
                <w:sz w:val="19"/>
              </w:rPr>
              <w:t> Proveedor de Soluciones Técnicas para CENACE, CFE y Mercado Eléctrico Mayorista</w:t>
            </w:r>
          </w:p>
        </w:tc>
      </w:tr>
    </w:tbl>
    <w:p>
      <w:r>
        <w:br w:type="page"/>
      </w:r>
    </w:p>
    <w:p>
      <w:pPr>
        <w:spacing w:before="300" w:after="150"/>
      </w:pPr>
      <w:r>
        <w:rPr>
          <w:rFonts w:ascii="Segoe UI" w:hAnsi="Segoe UI"/>
          <w:b/>
          <w:color w:val="0F172A"/>
          <w:sz w:val="32"/>
        </w:rPr>
        <w:t>1. PERFIL INSTITUCIONAL &amp; TRAYECTORIA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Grupo Empresarial VALAN (Proveedora e Importadora VALAN S.A. de C.V.) es una firma mexicana especializada en proveer productos, servicios y soluciones de alta ingeniería para la industria eléctrica nacional. Desde nuestra sede matriz en Hermosillo, Sonora, desplegamos infraestructura de potencia y conectividad en todo el territorio mexicano, sirviendo a los sectores industrial, minero, petroquímico, comercial, agrícola, hospitalario y residencial.</w:t>
      </w:r>
    </w:p>
    <w:p>
      <w:pPr>
        <w:spacing w:before="180" w:after="80"/>
      </w:pPr>
      <w:r>
        <w:rPr>
          <w:rFonts w:ascii="Segoe UI"/>
          <w:b/>
          <w:color w:val="0284C7"/>
          <w:sz w:val="22"/>
        </w:rPr>
        <w:t>1.1 Nuestra Historia &amp; Evolución Normativa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• Año 2002 — Fundación: VALAN nace con el objetivo de abastecer materiales, conductores y equipamiento electromecánico especializado para obras de electrificación y subestaciones eléctricas a nivel nacional.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• Año 2014 — Reforma Energética (LIE): Con la entrada en vigor de la Ley de la Industria Eléctrica, VALAN consolida su división de ingeniería avanzada y comercialización en el Mercado Eléctrico Mayorista (MEM), convirtiéndose en un socio integral para suministradores, generadores, transportistas y usuarios calificados.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• Año 2026 — Liderazgo en Alta Potencia: Más de 24 años de trayectoria ininterrumpida respaldan la ejecución de líneas de transmisión de hasta 400 kV, subestaciones encapsuladas en SF6, parques fotovoltaicos de gran escala y modernizaciones de medición fiscal ante CENACE y CFE.</w:t>
      </w:r>
    </w:p>
    <w:p>
      <w:pPr>
        <w:spacing w:before="180" w:after="80"/>
      </w:pPr>
      <w:r>
        <w:rPr>
          <w:rFonts w:ascii="Segoe UI"/>
          <w:b/>
          <w:color w:val="0284C7"/>
          <w:sz w:val="22"/>
        </w:rPr>
        <w:t>1.2 Pilares Estratégicos</w:t>
      </w: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single" w:color="CBD5E1" w:sz="6"/>
          <w:right w:val="single" w:color="CBD5E1" w:sz="6"/>
          <w:insideH w:val="single" w:color="CBD5E1" w:sz="4"/>
          <w:insideV w:val="single" w:color="CBD5E1" w:sz="4"/>
        </w:tblBorders>
      </w:tblPr>
      <w:tr>
        <w:tc>
          <w:tcPr>
            <w:shd w:val="clear" w:fill="0F172A"/>
            <w:tcMar>
              <w:top w:w="120"/>
              <w:bottom w:w="120"/>
              <w:left w:w="150"/>
              <w:right w:w="15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8"/>
              </w:rPr>
              <w:t>MISIÓN</w:t>
            </w:r>
          </w:p>
        </w:tc>
        <w:tc>
          <w:tcPr>
            <w:shd w:val="clear" w:fill="0F172A"/>
            <w:tcMar>
              <w:top w:w="120"/>
              <w:bottom w:w="120"/>
              <w:left w:w="150"/>
              <w:right w:w="15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8"/>
              </w:rPr>
              <w:t>VISIÓN</w:t>
            </w:r>
          </w:p>
        </w:tc>
        <w:tc>
          <w:tcPr>
            <w:shd w:val="clear" w:fill="0F172A"/>
            <w:tcMar>
              <w:top w:w="120"/>
              <w:bottom w:w="120"/>
              <w:left w:w="150"/>
              <w:right w:w="15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8"/>
              </w:rPr>
              <w:t>FILOSOFÍA</w:t>
            </w:r>
          </w:p>
        </w:tc>
      </w:tr>
      <w:tr>
        <w:tc>
          <w:tcPr>
            <w:shd w:val="clear" w:fill="F8FAFC"/>
            <w:tcMar>
              <w:top w:w="120"/>
              <w:bottom w:w="120"/>
              <w:left w:w="150"/>
              <w:right w:w="150"/>
            </w:tcMar>
          </w:tcPr>
          <w:p>
            <w:pPr>
              <w:spacing w:line="220" w:lineRule="auto"/>
            </w:pPr>
            <w:r>
              <w:rPr>
                <w:rFonts w:ascii="Segoe UI"/>
                <w:color w:val="334155"/>
                <w:sz w:val="18"/>
              </w:rPr>
              <w:t>Ser especialistas en los requisitos energéticos en la Industria Eléctrica Mexicana, brindando valor sustentable y soluciones de alta ingeniería a todos los participantes del sector.</w:t>
            </w:r>
          </w:p>
        </w:tc>
        <w:tc>
          <w:tcPr>
            <w:shd w:val="clear" w:fill="F8FAFC"/>
            <w:tcMar>
              <w:top w:w="120"/>
              <w:bottom w:w="120"/>
              <w:left w:w="150"/>
              <w:right w:w="150"/>
            </w:tcMar>
          </w:tcPr>
          <w:p>
            <w:pPr>
              <w:spacing w:line="220" w:lineRule="auto"/>
            </w:pPr>
            <w:r>
              <w:rPr>
                <w:rFonts w:ascii="Segoe UI"/>
                <w:color w:val="334155"/>
                <w:sz w:val="18"/>
              </w:rPr>
              <w:t>Establecer el liderazgo de nuestros productos y servicios con los participantes de la Industria Eléctrica en México, reconocidos por excelencia operativa y cumplimiento estricto.</w:t>
            </w:r>
          </w:p>
        </w:tc>
        <w:tc>
          <w:tcPr>
            <w:shd w:val="clear" w:fill="F8FAFC"/>
            <w:tcMar>
              <w:top w:w="120"/>
              <w:bottom w:w="120"/>
              <w:left w:w="150"/>
              <w:right w:w="150"/>
            </w:tcMar>
          </w:tcPr>
          <w:p>
            <w:pPr>
              <w:spacing w:line="220" w:lineRule="auto"/>
            </w:pPr>
            <w:r>
              <w:rPr>
                <w:rFonts w:ascii="Segoe UI"/>
                <w:color w:val="334155"/>
                <w:sz w:val="18"/>
              </w:rPr>
              <w:t>Ser un grupo empresarial especializado capaz de ofrecer soluciones integrales para el diseño, desarrollo, implementación y operación de proyectos, impulsando innovación tecnológica.</w:t>
            </w:r>
          </w:p>
        </w:tc>
      </w:tr>
    </w:tbl>
    <w:p>
      <w:pPr>
        <w:spacing w:before="240" w:after="0"/>
      </w:pPr>
    </w:p>
    <w:p>
      <w:pPr>
        <w:spacing w:before="180" w:after="80"/>
      </w:pPr>
      <w:r>
        <w:rPr>
          <w:rFonts w:ascii="Segoe UI"/>
          <w:b/>
          <w:color w:val="0284C7"/>
          <w:sz w:val="22"/>
        </w:rPr>
        <w:t>1.3 Métricas Operativas de Impacto</w:t>
      </w: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single" w:color="CBD5E1" w:sz="6"/>
          <w:right w:val="single" w:color="CBD5E1" w:sz="6"/>
          <w:insideH w:val="single" w:color="CBD5E1" w:sz="4"/>
          <w:insideV w:val="single" w:color="CBD5E1" w:sz="4"/>
        </w:tblBorders>
      </w:tblPr>
      <w:tr>
        <w:tc>
          <w:tcPr>
            <w:shd w:val="clear" w:fill="0F172A"/>
            <w:tcMar>
              <w:top w:w="120"/>
              <w:bottom w:w="120"/>
              <w:left w:w="150"/>
              <w:right w:w="15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8"/>
              </w:rPr>
              <w:t>24+ AÑOS</w:t>
            </w:r>
          </w:p>
        </w:tc>
        <w:tc>
          <w:tcPr>
            <w:shd w:val="clear" w:fill="0F172A"/>
            <w:tcMar>
              <w:top w:w="120"/>
              <w:bottom w:w="120"/>
              <w:left w:w="150"/>
              <w:right w:w="15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8"/>
              </w:rPr>
              <w:t>400 kV</w:t>
            </w:r>
          </w:p>
        </w:tc>
        <w:tc>
          <w:tcPr>
            <w:shd w:val="clear" w:fill="0F172A"/>
            <w:tcMar>
              <w:top w:w="120"/>
              <w:bottom w:w="120"/>
              <w:left w:w="150"/>
              <w:right w:w="15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8"/>
              </w:rPr>
              <w:t>15+ ESTADOS</w:t>
            </w:r>
          </w:p>
        </w:tc>
        <w:tc>
          <w:tcPr>
            <w:shd w:val="clear" w:fill="0F172A"/>
            <w:tcMar>
              <w:top w:w="120"/>
              <w:bottom w:w="120"/>
              <w:left w:w="150"/>
              <w:right w:w="15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8"/>
              </w:rPr>
              <w:t>100% CUMPLIMIENTO</w:t>
            </w:r>
          </w:p>
        </w:tc>
      </w:tr>
      <w:tr>
        <w:tc>
          <w:tcPr>
            <w:shd w:val="clear" w:fill="F8FAFC"/>
            <w:tcMar>
              <w:top w:w="120"/>
              <w:bottom w:w="120"/>
              <w:left w:w="150"/>
              <w:right w:w="150"/>
            </w:tcMar>
          </w:tcPr>
          <w:p>
            <w:pPr>
              <w:spacing w:line="220" w:lineRule="auto"/>
            </w:pPr>
            <w:r>
              <w:rPr>
                <w:rFonts w:ascii="Segoe UI"/>
                <w:color w:val="334155"/>
                <w:sz w:val="18"/>
              </w:rPr>
              <w:t>Trayectoria ininterrumpida de suministro y obra eléctrica especializada en México.</w:t>
            </w:r>
          </w:p>
        </w:tc>
        <w:tc>
          <w:tcPr>
            <w:shd w:val="clear" w:fill="F8FAFC"/>
            <w:tcMar>
              <w:top w:w="120"/>
              <w:bottom w:w="120"/>
              <w:left w:w="150"/>
              <w:right w:w="150"/>
            </w:tcMar>
          </w:tcPr>
          <w:p>
            <w:pPr>
              <w:spacing w:line="220" w:lineRule="auto"/>
            </w:pPr>
            <w:r>
              <w:rPr>
                <w:rFonts w:ascii="Segoe UI"/>
                <w:color w:val="334155"/>
                <w:sz w:val="18"/>
              </w:rPr>
              <w:t>Máxima tensión operada en líneas de transmisión y subestaciones de potencia.</w:t>
            </w:r>
          </w:p>
        </w:tc>
        <w:tc>
          <w:tcPr>
            <w:shd w:val="clear" w:fill="F8FAFC"/>
            <w:tcMar>
              <w:top w:w="120"/>
              <w:bottom w:w="120"/>
              <w:left w:w="150"/>
              <w:right w:w="150"/>
            </w:tcMar>
          </w:tcPr>
          <w:p>
            <w:pPr>
              <w:spacing w:line="220" w:lineRule="auto"/>
            </w:pPr>
            <w:r>
              <w:rPr>
                <w:rFonts w:ascii="Segoe UI"/>
                <w:color w:val="334155"/>
                <w:sz w:val="18"/>
              </w:rPr>
              <w:t>Cobertura nacional con proyectos ejecutados de frontera a frontera.</w:t>
            </w:r>
          </w:p>
        </w:tc>
        <w:tc>
          <w:tcPr>
            <w:shd w:val="clear" w:fill="F8FAFC"/>
            <w:tcMar>
              <w:top w:w="120"/>
              <w:bottom w:w="120"/>
              <w:left w:w="150"/>
              <w:right w:w="150"/>
            </w:tcMar>
          </w:tcPr>
          <w:p>
            <w:pPr>
              <w:spacing w:line="220" w:lineRule="auto"/>
            </w:pPr>
            <w:r>
              <w:rPr>
                <w:rFonts w:ascii="Segoe UI"/>
                <w:color w:val="334155"/>
                <w:sz w:val="18"/>
              </w:rPr>
              <w:t>Alineación regulatoria rigurosa con normativas CENACE, CFE, CRE y Código de Red.</w:t>
            </w:r>
          </w:p>
        </w:tc>
      </w:tr>
    </w:tbl>
    <w:p>
      <w:r>
        <w:br w:type="page"/>
      </w:r>
    </w:p>
    <w:p>
      <w:pPr>
        <w:spacing w:before="300" w:after="150"/>
      </w:pPr>
      <w:r>
        <w:rPr>
          <w:rFonts w:ascii="Segoe UI" w:hAnsi="Segoe UI"/>
          <w:b/>
          <w:color w:val="0F172A"/>
          <w:sz w:val="32"/>
        </w:rPr>
        <w:t>2. CATÁLOGO DE PRODUCTOS &amp; SERVICIOS ESPECIALIZADOS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VALAN integra un portafolio de 10 divisiones de ingeniería orientadas a optimizar el consumo energético, maximizar la confiabilidad operativa y garantizar el cumplimiento normativo ante el Mercado Eléctrico Mayorista:</w:t>
      </w: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2.1 Comercialización y Facturación de Energía (MEM)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Gestión eficiente del suministro eléctrico y control de costos en el Mercado Eléctrico Mayorista desde hace más de 9 años. Asesoramos y administramos contratos de cobertura eléctrica, liquidaciones horarias ante CENACE y representación de usuarios calificados y suministradores.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2.2 Solución de Proyectos de Plantas de Generación (Fotovoltaica &amp; Renovable)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Diseño, procura, montaje, interconexión y comisionamiento de centrales eléctricas renovables: solares fotovoltaicas (distribuida y gran escala MW), eólicas y sistemas de cogeneración para complejos agroindustriales y manufactureros.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2.3 Servicio de Construcción y Obra Eléctrica (AT, MT y BT)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Más de dos décadas desarrollando infraestructura crítica: líneas de transmisión aéreas y subterráneas hasta 400 kV, subestaciones eléctricas convencionales y en SF6, redes de distribución urbanas, hospitalarias y rurales.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2.4 Sistemas de Medición, Monitoreo y SCADA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Integración llave en mano de tableros de protección, control y medición (PCyM), esquemas lógicos bajo protocolos internacionales (DNP3, IEC 61850, Modbus) y centros de control para monitoreo de subestaciones en tiempo real.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2.5 Servicio Avanzado de Monitoreo de Medidores (SAMM)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Plataforma tecnológica patentada para supervisión remota de medidores fiscales y de proceso. Permite telemetría instantánea, diagnóstico de anomalías en calidad de potencia y generación de reportes automáticos de balance energético.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2.6 Sistemas de Comunicación y Conectividad Inalámbrica (OPGW)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Infraestructura de telecomunicaciones industriales: tendido y fusionado de cable de guardia con fibra óptica (OPGW / ADSS), radioenlaces de microondas de alta confiabilidad y redes privadas para subestaciones.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2.7 Servicio de Consultoría y Eficiencia Energética (Código de Red)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Auditorías energéticas avanzadas, estudios de calidad de la energía, armónicos, filtrado activo y compensación de factor de potencia para cumplimiento estricto con los requerimientos técnicos del Código de Red.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2.8 Servicio de Gestión ante la Industria Eléctrica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Acompañamiento técnico, normativo y legal ante CENACE, CFE Distribución, CFE Transmisión y la Comisión Reguladora de Energía (CRE). Tramitación de contratos de interconexión, libranzas y dictámenes de verificación UVIE / UVIM.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2.9 Suministro de Equipo, Material y Herramienta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Provisión directa de equipamiento primario (transformadores de potencia, interruptores de vacío y SF6, cuchillas, apartarrayos), conductores de alta tensión, herrajes normados y herramientas dieléctricas certificadas.</w:t>
            </w:r>
          </w:p>
        </w:tc>
      </w:tr>
    </w:tbl>
    <w:p>
      <w:pPr>
        <w:spacing w:before="120" w:after="0"/>
      </w:pPr>
    </w:p>
    <w:tbl>
      <w:tblPr>
        <w:tblW w:w="9600" w:type="dxa"/>
        <w:jc w:val="center"/>
        <w:tblBorders>
          <w:top w:val="none"/>
          <w:bottom w:val="none"/>
          <w:left w:val="single" w:color="0284C7" w:sz="16"/>
          <w:right w:val="none"/>
          <w:insideH w:val="none"/>
          <w:insideV w:val="none"/>
        </w:tblBorders>
      </w:tblPr>
      <w:tr>
        <w:tc>
          <w:tcPr>
            <w:shd w:val="clear" w:fill="F8FAFC"/>
            <w:tcMar>
              <w:top w:w="100"/>
              <w:bottom w:w="100"/>
              <w:left w:w="200"/>
              <w:right w:w="150"/>
            </w:tcMar>
          </w:tcPr>
          <w:p>
            <w:pPr>
              <w:spacing w:after="40"/>
            </w:pPr>
            <w:r>
              <w:rPr>
                <w:rFonts w:ascii="Segoe UI"/>
                <w:b/>
                <w:color w:val="0F172A"/>
                <w:sz w:val="20"/>
              </w:rPr>
              <w:t>2.10 Diseño, Desarrollo e Integración de Proyectos (EPC Llave en Mano)</w:t>
            </w:r>
          </w:p>
          <w:p>
            <w:pPr>
              <w:spacing w:after="40"/>
            </w:pPr>
            <w:r>
              <w:rPr>
                <w:rFonts w:ascii="Segoe UI"/>
                <w:color w:val="334155"/>
                <w:sz w:val="18"/>
              </w:rPr>
              <w:t>Metodología integral que abarca desde la concepción hasta la entrega operativa garantizada, estructurada en 6 etapas rigurosas:
  1. Análisis de necesidades, viabilidad técnico-financiera y alcance.
  2. Ingeniería conceptual, básica y de detalle (civil, eléctrica y electromecánica).
  3. Desarrollo técnico y cumplimiento de normativas CFE y CENACE.
  4. Integración de disciplinas (obra civil, estructuras, potencia, automatización y TI).
  5. Procura, logística y coordinación integral de suministros certificados.
  6. Supervisión de montaje en campo, pruebas pre-operativas con equipo calibrado y puesta en servicio.</w:t>
            </w:r>
          </w:p>
        </w:tc>
      </w:tr>
    </w:tbl>
    <w:p>
      <w:pPr>
        <w:spacing w:before="120" w:after="0"/>
      </w:pPr>
    </w:p>
    <w:p>
      <w:r>
        <w:br w:type="page"/>
      </w:r>
    </w:p>
    <w:p>
      <w:pPr>
        <w:spacing w:before="300" w:after="150"/>
      </w:pPr>
      <w:r>
        <w:rPr>
          <w:rFonts w:ascii="Segoe UI" w:hAnsi="Segoe UI"/>
          <w:b/>
          <w:color w:val="0F172A"/>
          <w:sz w:val="32"/>
        </w:rPr>
        <w:t>3. PROYECTOS EMBLEMÁTICOS &amp; CASOS DE ÉXITO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A continuación se presentan obras representativas ejecutadas por VALAN, evidenciando solvencia técnica en alta potencia, infraestructura hospitalaria, generación solar e ingeniería urbana:</w:t>
      </w: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none"/>
          <w:right w:val="none"/>
          <w:insideH w:val="none"/>
          <w:insideV w:val="none"/>
        </w:tblBorders>
      </w:tblPr>
      <w:tr>
        <w:tc>
          <w:tcPr>
            <w:tcW w:w="3600" w:type="dxa"/>
          </w:tcPr>
          <w:p>
            <w:pPr>
              <w:jc w:val="center"/>
            </w:pPr>
            <w:r>
              <w:drawing>
                <wp:inline xmlns:wp="http://schemas.openxmlformats.org/drawingml/2006/wordprocessingDrawing">
                  <wp:extent cx="2540000" cy="165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xmlns:r="http://schemas.openxmlformats.org/officeDocument/2006/relationships" r:embed="Rd1e1d833d8124db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left w:w="20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Hospital General de Especialidades del Estado de Sonora</w:t>
            </w:r>
          </w:p>
          <w:p>
            <w:pPr>
              <w:spacing w:after="80"/>
            </w:pPr>
            <w:r>
              <w:rPr>
                <w:rFonts w:ascii="Segoe UI"/>
                <w:b/>
                <w:color w:val="0284C7"/>
                <w:sz w:val="18"/>
              </w:rPr>
              <w:t>Año: 2022  |  Ubicación: Hermosillo, Sonora  |  Capacidad: Media y Baja Tensión</w:t>
            </w:r>
          </w:p>
          <w:p>
            <w:pPr>
              <w:spacing w:after="120"/>
            </w:pPr>
            <w:r>
              <w:rPr>
                <w:rFonts w:ascii="Segoe UI"/>
                <w:color w:val="334155"/>
                <w:sz w:val="18"/>
              </w:rPr>
              <w:t>Construcción completa de la red eléctrica de media y baja tensión, abasteciendo áreas quirúrgicas, salas de imagenología, terapia intensiva y servicios generales bajo los estándares hospitalarios más rigurosos.</w:t>
            </w:r>
          </w:p>
        </w:tc>
      </w:tr>
    </w:tbl>
    <w:p>
      <w:pPr>
        <w:spacing w:before="160" w:after="0"/>
      </w:pP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none"/>
          <w:right w:val="none"/>
          <w:insideH w:val="none"/>
          <w:insideV w:val="none"/>
        </w:tblBorders>
      </w:tblPr>
      <w:tr>
        <w:tc>
          <w:tcPr>
            <w:tcW w:w="3600" w:type="dxa"/>
          </w:tcPr>
          <w:p>
            <w:pPr>
              <w:jc w:val="center"/>
            </w:pPr>
            <w:r>
              <w:drawing>
                <wp:inline xmlns:wp="http://schemas.openxmlformats.org/drawingml/2006/wordprocessingDrawing">
                  <wp:extent cx="2540000" cy="165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xmlns:r="http://schemas.openxmlformats.org/officeDocument/2006/relationships" r:embed="R46e266900002460a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left w:w="20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Subestación y Línea Aéreo-Subterránea 115 kV Parque Industrial Amistad</w:t>
            </w:r>
          </w:p>
          <w:p>
            <w:pPr>
              <w:spacing w:after="80"/>
            </w:pPr>
            <w:r>
              <w:rPr>
                <w:rFonts w:ascii="Segoe UI"/>
                <w:b/>
                <w:color w:val="0284C7"/>
                <w:sz w:val="18"/>
              </w:rPr>
              <w:t>Año: 2024  |  Ubicación: Ramos Arizpe, Coahuila  |  Capacidad: 115 kV Alta Tensión</w:t>
            </w:r>
          </w:p>
          <w:p>
            <w:pPr>
              <w:spacing w:after="120"/>
            </w:pPr>
            <w:r>
              <w:rPr>
                <w:rFonts w:ascii="Segoe UI"/>
                <w:color w:val="334155"/>
                <w:sz w:val="18"/>
              </w:rPr>
              <w:t>Ingeniería, supervisión y suministro para la construcción de Subestación de 115 kV, montaje de monopostes de acero de gran tonelaje, tendido de cable subterráneo en 115 kV y caseta de medición fiscal.</w:t>
            </w:r>
          </w:p>
        </w:tc>
      </w:tr>
    </w:tbl>
    <w:p>
      <w:pPr>
        <w:spacing w:before="160" w:after="0"/>
      </w:pP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none"/>
          <w:right w:val="none"/>
          <w:insideH w:val="none"/>
          <w:insideV w:val="none"/>
        </w:tblBorders>
      </w:tblPr>
      <w:tr>
        <w:tc>
          <w:tcPr>
            <w:tcW w:w="3600" w:type="dxa"/>
          </w:tcPr>
          <w:p>
            <w:pPr>
              <w:jc w:val="center"/>
            </w:pPr>
            <w:r>
              <w:drawing>
                <wp:inline xmlns:wp="http://schemas.openxmlformats.org/drawingml/2006/wordprocessingDrawing">
                  <wp:extent cx="2540000" cy="165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xmlns:r="http://schemas.openxmlformats.org/officeDocument/2006/relationships" r:embed="R0f27e58d57474a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left w:w="20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Línea de Transmisión 115 kV Santa Fe Entronque Culiacán Uno - Culiacán Norte</w:t>
            </w:r>
          </w:p>
          <w:p>
            <w:pPr>
              <w:spacing w:after="80"/>
            </w:pPr>
            <w:r>
              <w:rPr>
                <w:rFonts w:ascii="Segoe UI"/>
                <w:b/>
                <w:color w:val="0284C7"/>
                <w:sz w:val="18"/>
              </w:rPr>
              <w:t>Año: 2024–2026  |  Ubicación: Culiacán, Sinaloa  |  Capacidad: 115 kV (19 Postes)</w:t>
            </w:r>
          </w:p>
          <w:p>
            <w:pPr>
              <w:spacing w:after="120"/>
            </w:pPr>
            <w:r>
              <w:rPr>
                <w:rFonts w:ascii="Segoe UI"/>
                <w:color w:val="334155"/>
                <w:sz w:val="18"/>
              </w:rPr>
              <w:t>Obra para CFE que contempla cimentaciones profundas, armado e izado de 19 estructuras troncocónicas de acero, tendido y tensionado de conductores y cable de guarda OPGW con maniobras en altura.</w:t>
            </w:r>
          </w:p>
        </w:tc>
      </w:tr>
    </w:tbl>
    <w:p>
      <w:pPr>
        <w:spacing w:before="160" w:after="0"/>
      </w:pP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none"/>
          <w:right w:val="none"/>
          <w:insideH w:val="none"/>
          <w:insideV w:val="none"/>
        </w:tblBorders>
      </w:tblPr>
      <w:tr>
        <w:tc>
          <w:tcPr>
            <w:tcW w:w="3600" w:type="dxa"/>
          </w:tcPr>
          <w:p>
            <w:pPr>
              <w:jc w:val="center"/>
            </w:pPr>
            <w:r>
              <w:drawing>
                <wp:inline xmlns:wp="http://schemas.openxmlformats.org/drawingml/2006/wordprocessingDrawing">
                  <wp:extent cx="2540000" cy="165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xmlns:r="http://schemas.openxmlformats.org/officeDocument/2006/relationships" r:embed="Rafec048433144f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left w:w="20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Ampliación de Bahía S.E. 230 kV Lázaro Cárdenas (Fertinal)</w:t>
            </w:r>
          </w:p>
          <w:p>
            <w:pPr>
              <w:spacing w:after="80"/>
            </w:pPr>
            <w:r>
              <w:rPr>
                <w:rFonts w:ascii="Segoe UI"/>
                <w:b/>
                <w:color w:val="0284C7"/>
                <w:sz w:val="18"/>
              </w:rPr>
              <w:t>Año: 2021  |  Ubicación: Lázaro Cárdenas, Michoacán  |  Capacidad: 230 kV Alta Potencia</w:t>
            </w:r>
          </w:p>
          <w:p>
            <w:pPr>
              <w:spacing w:after="120"/>
            </w:pPr>
            <w:r>
              <w:rPr>
                <w:rFonts w:ascii="Segoe UI"/>
                <w:color w:val="334155"/>
                <w:sz w:val="18"/>
              </w:rPr>
              <w:t>Ampliación electromecánica de bahía en subestación de potencia de 230 kV para el complejo petroquímico Fertinal, integrando interruptores de 230 kV, cuchillas desconectadoras y enlace a protecciones.</w:t>
            </w:r>
          </w:p>
        </w:tc>
      </w:tr>
    </w:tbl>
    <w:p>
      <w:pPr>
        <w:spacing w:before="160" w:after="0"/>
      </w:pP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none"/>
          <w:right w:val="none"/>
          <w:insideH w:val="none"/>
          <w:insideV w:val="none"/>
        </w:tblBorders>
      </w:tblPr>
      <w:tr>
        <w:tc>
          <w:tcPr>
            <w:tcW w:w="3600" w:type="dxa"/>
          </w:tcPr>
          <w:p>
            <w:pPr>
              <w:jc w:val="center"/>
            </w:pPr>
            <w:r>
              <w:drawing>
                <wp:inline xmlns:wp="http://schemas.openxmlformats.org/drawingml/2006/wordprocessingDrawing">
                  <wp:extent cx="2540000" cy="165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xmlns:r="http://schemas.openxmlformats.org/officeDocument/2006/relationships" r:embed="R4ecb8f2e57c347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left w:w="20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Líneas de Transmisión 400 kV / 230 kV y Subestación Encapsulada Malpaso (SF6)</w:t>
            </w:r>
          </w:p>
          <w:p>
            <w:pPr>
              <w:spacing w:after="80"/>
            </w:pPr>
            <w:r>
              <w:rPr>
                <w:rFonts w:ascii="Segoe UI"/>
                <w:b/>
                <w:color w:val="0284C7"/>
                <w:sz w:val="18"/>
              </w:rPr>
              <w:t>Año: 2009–2010  |  Ubicación: Villahermosa, Tabasco  |  Capacidad: 400 kV / 230 kV (120.9 km-c)</w:t>
            </w:r>
          </w:p>
          <w:p>
            <w:pPr>
              <w:spacing w:after="120"/>
            </w:pPr>
            <w:r>
              <w:rPr>
                <w:rFonts w:ascii="Segoe UI"/>
                <w:color w:val="334155"/>
                <w:sz w:val="18"/>
              </w:rPr>
              <w:t>Construcción de líneas en 400 kV en torres de acero autosoportadas (120 km-circuito), SE Malpaso en tecnología GIS (SF6), y SE Tabasco Bancos 1 y 2 con autotransformadores y reactores monofásicos.</w:t>
            </w:r>
          </w:p>
        </w:tc>
      </w:tr>
    </w:tbl>
    <w:p>
      <w:pPr>
        <w:spacing w:before="160" w:after="0"/>
      </w:pP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none"/>
          <w:right w:val="none"/>
          <w:insideH w:val="none"/>
          <w:insideV w:val="none"/>
        </w:tblBorders>
      </w:tblPr>
      <w:tr>
        <w:tc>
          <w:tcPr>
            <w:tcW w:w="3600" w:type="dxa"/>
          </w:tcPr>
          <w:p>
            <w:pPr>
              <w:jc w:val="center"/>
            </w:pPr>
            <w:r>
              <w:drawing>
                <wp:inline xmlns:wp="http://schemas.openxmlformats.org/drawingml/2006/wordprocessingDrawing">
                  <wp:extent cx="2540000" cy="165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xmlns:r="http://schemas.openxmlformats.org/officeDocument/2006/relationships" r:embed="Rb10180036cd24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left w:w="20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Subestación Encapsulada en SF6 Cactus Switcheo 115 kV</w:t>
            </w:r>
          </w:p>
          <w:p>
            <w:pPr>
              <w:spacing w:after="80"/>
            </w:pPr>
            <w:r>
              <w:rPr>
                <w:rFonts w:ascii="Segoe UI"/>
                <w:b/>
                <w:color w:val="0284C7"/>
                <w:sz w:val="18"/>
              </w:rPr>
              <w:t>Año: 2010–2013  |  Ubicación: Villahermosa, Tabasco  |  Capacidad: 115 kV GIS SF6</w:t>
            </w:r>
          </w:p>
          <w:p>
            <w:pPr>
              <w:spacing w:after="120"/>
            </w:pPr>
            <w:r>
              <w:rPr>
                <w:rFonts w:ascii="Segoe UI"/>
                <w:color w:val="334155"/>
                <w:sz w:val="18"/>
              </w:rPr>
              <w:t>Construcción de subestación compacta blindada en gas SF6 (Gas Insulated Switchgear) y ductos de interconexión de alta seguridad para el Complejo Procesador de Gas (CPG) de PEMEX.</w:t>
            </w:r>
          </w:p>
        </w:tc>
      </w:tr>
    </w:tbl>
    <w:p>
      <w:pPr>
        <w:spacing w:before="160" w:after="0"/>
      </w:pP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none"/>
          <w:right w:val="none"/>
          <w:insideH w:val="none"/>
          <w:insideV w:val="none"/>
        </w:tblBorders>
      </w:tblPr>
      <w:tr>
        <w:tc>
          <w:tcPr>
            <w:tcW w:w="3600" w:type="dxa"/>
          </w:tcPr>
          <w:p>
            <w:pPr>
              <w:jc w:val="center"/>
            </w:pPr>
            <w:r>
              <w:drawing>
                <wp:inline xmlns:wp="http://schemas.openxmlformats.org/drawingml/2006/wordprocessingDrawing">
                  <wp:extent cx="2540000" cy="165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xmlns:r="http://schemas.openxmlformats.org/officeDocument/2006/relationships" r:embed="Rac1caa763fd341cf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left w:w="20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Construcción de Subestación Cajeme Banco 1 (115 / 230 kV)</w:t>
            </w:r>
          </w:p>
          <w:p>
            <w:pPr>
              <w:spacing w:after="80"/>
            </w:pPr>
            <w:r>
              <w:rPr>
                <w:rFonts w:ascii="Segoe UI"/>
                <w:b/>
                <w:color w:val="0284C7"/>
                <w:sz w:val="18"/>
              </w:rPr>
              <w:t>Año: 2006–2007  |  Ubicación: Ciudad Obregón, Sonora  |  Capacidad: 300 MVA / 18 MVAr</w:t>
            </w:r>
          </w:p>
          <w:p>
            <w:pPr>
              <w:spacing w:after="120"/>
            </w:pPr>
            <w:r>
              <w:rPr>
                <w:rFonts w:ascii="Segoe UI"/>
                <w:color w:val="334155"/>
                <w:sz w:val="18"/>
              </w:rPr>
              <w:t>Construcción de subestación con 300 MVA de transformación y 18 MVAr de compensación reactiva, montaje de equipo primario, cableado de control y caseta con tableros Metal Clad.</w:t>
            </w:r>
          </w:p>
        </w:tc>
      </w:tr>
    </w:tbl>
    <w:p>
      <w:pPr>
        <w:spacing w:before="160" w:after="0"/>
      </w:pP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none"/>
          <w:right w:val="none"/>
          <w:insideH w:val="none"/>
          <w:insideV w:val="none"/>
        </w:tblBorders>
      </w:tblPr>
      <w:tr>
        <w:tc>
          <w:tcPr>
            <w:tcW w:w="3600" w:type="dxa"/>
          </w:tcPr>
          <w:p>
            <w:pPr>
              <w:jc w:val="center"/>
            </w:pPr>
            <w:r>
              <w:drawing>
                <wp:inline xmlns:wp="http://schemas.openxmlformats.org/drawingml/2006/wordprocessingDrawing">
                  <wp:extent cx="2540000" cy="165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xmlns:r="http://schemas.openxmlformats.org/officeDocument/2006/relationships" r:embed="Rf8020c7e599b4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Mar>
              <w:left w:w="20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Central Solar Fotovoltaica Caborca (295 kW) &amp; Nogales (1 MW)</w:t>
            </w:r>
          </w:p>
          <w:p>
            <w:pPr>
              <w:spacing w:after="80"/>
            </w:pPr>
            <w:r>
              <w:rPr>
                <w:rFonts w:ascii="Segoe UI"/>
                <w:b/>
                <w:color w:val="0284C7"/>
                <w:sz w:val="18"/>
              </w:rPr>
              <w:t>Año: 2015–2024  |  Ubicación: Sonora, México  |  Capacidad: 1,295 kW Generación</w:t>
            </w:r>
          </w:p>
          <w:p>
            <w:pPr>
              <w:spacing w:after="120"/>
            </w:pPr>
            <w:r>
              <w:rPr>
                <w:rFonts w:ascii="Segoe UI"/>
                <w:color w:val="334155"/>
                <w:sz w:val="18"/>
              </w:rPr>
              <w:t>Ingeniería, montaje mecánico, inversores solares y sincronización a media tensión para centrales industriales y agrícolas de autoconsumo interconectadas a la red de CFE.</w:t>
            </w:r>
          </w:p>
        </w:tc>
      </w:tr>
    </w:tbl>
    <w:p>
      <w:pPr>
        <w:spacing w:before="160" w:after="0"/>
      </w:pPr>
    </w:p>
    <w:p>
      <w:r>
        <w:br w:type="page"/>
      </w:r>
    </w:p>
    <w:p>
      <w:pPr>
        <w:spacing w:before="300" w:after="150"/>
      </w:pPr>
      <w:r>
        <w:rPr>
          <w:rFonts w:ascii="Segoe UI" w:hAnsi="Segoe UI"/>
          <w:b/>
          <w:color w:val="0F172A"/>
          <w:sz w:val="32"/>
        </w:rPr>
        <w:t>4. RELACIÓN HISTÓRICA COMPLETA DE OBRAS Y SERVICIOS (2003–2026)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La siguiente matriz consolida el historial contractual de obras de potencia, subestaciones, líneas de transmisión, sistemas de medición fiscal y electrificación ejecutadas formalmente por VALAN en la República Mexicana:</w:t>
      </w:r>
    </w:p>
    <w:tbl>
      <w:tblPr>
        <w:tblW w:w="9600" w:type="dxa"/>
        <w:jc w:val="center"/>
        <w:tblBorders>
          <w:top w:val="single" w:color="0F172A" w:sz="8"/>
          <w:bottom w:val="single" w:color="0F172A" w:sz="8"/>
          <w:left w:val="none"/>
          <w:right w:val="none"/>
          <w:insideH w:val="single" w:color="CBD5E1" w:sz="4"/>
          <w:insideV w:val="none"/>
        </w:tblBorders>
      </w:tblPr>
      <w:tr>
        <w:tc>
          <w:tcPr>
            <w:tcW w:w="900" w:type="dxa"/>
            <w:shd w:val="clear" w:fill="0F172A"/>
            <w:tcMar>
              <w:top w:w="120"/>
              <w:bottom w:w="120"/>
              <w:left w:w="120"/>
              <w:right w:w="12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7"/>
              </w:rPr>
              <w:t>Año</w:t>
            </w:r>
          </w:p>
        </w:tc>
        <w:tc>
          <w:tcPr>
            <w:tcW w:w="3300" w:type="dxa"/>
            <w:shd w:val="clear" w:fill="0F172A"/>
            <w:tcMar>
              <w:top w:w="120"/>
              <w:bottom w:w="120"/>
              <w:left w:w="120"/>
              <w:right w:w="12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7"/>
              </w:rPr>
              <w:t>Proyecto / Obra</w:t>
            </w:r>
          </w:p>
        </w:tc>
        <w:tc>
          <w:tcPr>
            <w:tcW w:w="1800" w:type="dxa"/>
            <w:shd w:val="clear" w:fill="0F172A"/>
            <w:tcMar>
              <w:top w:w="120"/>
              <w:bottom w:w="120"/>
              <w:left w:w="120"/>
              <w:right w:w="12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7"/>
              </w:rPr>
              <w:t>Ubicación</w:t>
            </w:r>
          </w:p>
        </w:tc>
        <w:tc>
          <w:tcPr>
            <w:tcW w:w="1600" w:type="dxa"/>
            <w:shd w:val="clear" w:fill="0F172A"/>
            <w:tcMar>
              <w:top w:w="120"/>
              <w:bottom w:w="120"/>
              <w:left w:w="120"/>
              <w:right w:w="12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7"/>
              </w:rPr>
              <w:t>Tensión / Alcance</w:t>
            </w:r>
          </w:p>
        </w:tc>
        <w:tc>
          <w:tcPr>
            <w:tcW w:w="2000" w:type="dxa"/>
            <w:shd w:val="clear" w:fill="0F172A"/>
            <w:tcMar>
              <w:top w:w="120"/>
              <w:bottom w:w="120"/>
              <w:left w:w="120"/>
              <w:right w:w="120"/>
            </w:tcMar>
          </w:tcPr>
          <w:p>
            <w:pPr>
              <w:jc w:val="center"/>
            </w:pPr>
            <w:r>
              <w:rPr>
                <w:rFonts w:ascii="Segoe UI"/>
                <w:b/>
                <w:color w:val="FFFFFF"/>
                <w:sz w:val="17"/>
              </w:rPr>
              <w:t>Cliente / Entidad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2026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L.T. Santa Fe Entq. Culiacán Uno - Culiacán Norte 115 kV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Culiacán, Sinaloa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(19 Postes)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2026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Modernización infraestructura eléctrica MT/BT Mercado Municipal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Guaymas,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Media y Baja Tensión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Gobierno del Estado de Sonora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2025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Infraestructura eléctrica Albergue para Migrantes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Media y Baja Tensión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Asistencia Social / Obra Pública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L.T. Aéreo-Subterránea 115 kV Parque Industrial Amistad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Ramos Arizpe, Coahuila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Aéreo-Subt.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Parques Industriales Amistad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S.E. 115 kV Parque Industrial Amistad Chuy María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Ramos Arizpe, Coahuila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Subestación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Parques Industriales Amistad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Diseño y construcción bahía de medición S.E. 115 kV Parque Amistad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Ramos Arizpe, Coahuila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Medición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Parques Industriales Amistad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Red eléctrica MT/BT subterránea y alumbrado Fracc. Arbórea Residencial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MT/BT Subterránea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Inverta Desarrollos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Obra civil y electromecánica remodelación Centro Histórico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Subterránea y Alumbrado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Gobierno Municipal / Estatal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Red MT 34.5 kV Nácori Chico - Mesa Tres Ríos (Sierra de Sonora)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Nácori Chico,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34.5 kV MT (Postería)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Comunidad Rural / Estatal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Diseño y construcción línea 13.5 kV (1.5 km) Pozo de Agua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Altar,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13.5 kV / 1.5 km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Organismo Operador de Agua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Sistema solar fotovoltaico interconectado 295 kW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Caborca,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295 kW Solar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Sector Industrial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2024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Línea de Transmisión 115 kV Villa Mercedes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Transmisión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Distribución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2023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Línea de distribución 34.5 kV Moctezuma - Divisaderos (36 km)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Sierra de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34.5 kV / 36 km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Gobierno del Estado de Sonora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2023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Normalización acometida MT Edificio SIDUR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Media Tensión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Secretaría de Infraestructura (SIDUR)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2023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Parque solar agrícola interconectado Pozo Manuel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313.95 kW Solar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Sector Agroindustrial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2023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Sistema fotovoltaico interconectado Campo Agrícola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Poblado Miguel Alemán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410.76 kW Solar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Sector Agrícola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2023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Sistema fotovoltaico interconectado Campo Agrícola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Poblado Miguel Alemán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47.17 kW Solar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Sector Agrícola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2023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Sistema fotovoltaico interconectado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Bahía de Kino,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11.88 kW Solar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Sector Comercial / Turístico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2022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Red eléctrica media y baja tensión Hospital General de Especialidades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Media y Baja Tensión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Gobierno del Estado de Sonora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2022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red MT y BT Centro de Atención Temprana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Agua Prieta,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Media y Baja Tensión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Fiscalía / Seguridad Pública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2022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Mantenimiento general infraestructura eléctrica CENDI 1 y 2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Infraestructura Eléctrica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Inst. Educativas Estatales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2022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Diseño y construcción sistema fotovoltaico Ferretería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9.24 kW Solar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Sector Comercial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2021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Ampliación de bahía S.E. 230 kV Complejo Fertinal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Lázaro Cárdenas, Mich.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230 kV Alta Potencia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Fertinal Petroquímica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2021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Normalización medición fiscal S.E. 115 kV Planta Leoni Cable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Cuauhtémoc, Chih.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Medición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Leoni Cable México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2021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2 alimentadores 13.8 kV S.E. Poniente Banco 1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Mérida, Yucatán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13.8 kV Distribución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Distribución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2021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Sistema fotovoltaico interconectado Clínica Veterinaria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11.88 kW Solar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Sector Comercial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2019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Modernización medición fiscal S.E. 115 kV Empaques Modernos GDL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Guadalajara, Jalisco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Medición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Grupo GONDI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2018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Modernización medición fiscal S.E. 115 kV Mina Tayahua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Mazapil, Zacatecas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Medición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Grupo Frisco (Minería)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2018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Normalización medición fiscal S.E. 230 kV Mina La Parreña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Milpillas,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230 kV Medición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Grupo Peñoles (Gran Minería)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2017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Modernización medición fiscal S.E. 115 kV Planta FORD Motors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Medición Fiscal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FORD Motor Company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2017-19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L.T. Carmen - Cárdenas I y L.T. Carmen - Jalpa 115 kV + S.E. Cárdenas Uno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Tabasco, México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Transmisión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2015-17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S.E. Norte III (Edificios Eléctricos, Auxiliares, Admin y Racks)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Cd. Juárez, Chihuahua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Alta Tensión / Obra Civil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/ Techint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2015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Sistema fotovoltaico interconectado 1 MW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Nogales,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 MW (1,000 kW)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Sector Industrial Fronterizo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2014-15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S.E. Carmen 115 kV 300 MVA, S.E. Cárdenas I, S.E. Jalpa y S.E. Tamulté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Tabasco, México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/ 300 MVA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2013-14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S.E. Hermosillo 5 + MVAr, S.E. Nacozari y L.T. Nacozari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Sonora, México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Subestaciones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2010-13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S.E. Encapsulada SF6 Cactus Switcheo 115 kV y ductos interconexión CPG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Villahermosa, Tabasco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GIS SF6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PEMEX Gas / CFE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2009-10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Tres L.T. 400 kV (120.9 km-c), L.T. 230 kV, S.E. Malpaso SF6 y S.E. Tabasco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Villahermosa, Tabasco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400 kV / 230 kV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2008-09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Ampliación S.E. La Higuera Bco 2 y 3 + Entronque L.T. 400 kV y OPGW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Sinaloa, México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400 kV Transmisión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2007-08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Banco Reactores Monofásicos y Sistema Contra Incendio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Chiapas, México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Alta Tensión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2006-07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S.E. Cajeme Banco 1 (300 MVA transf. y 18 MVAr comp.)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Cd. Obregón, Sonora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/ 230 kV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2005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L.T. Punta Sam - Balam (12 km, 115 kV, postes troncocónicos 2 circ.)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Cancún, Quintana Roo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Transmisión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Peninsular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2005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Enlace Central Ciclo Combinado Valladolid con S.E. Felipe Carrillo Puerto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Valladolid, Yucatán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230 kV Transmisión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/ Proveedor Externo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2003-04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Reubicación L.T. 115 kV y ampliación S.E. Hermosillo V Ciclo Combinado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Hermosillo, Sonora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115 kV Transmisión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Noroeste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2003-04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L.T. CCC Hermosillo - La Loma - Hermosillo III - Pto. Libertad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Sonora, México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Alta Tensión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2003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L.T. Río Escondido - Arroyo del Coyote (Torres autosoportadas)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Coah., N.L., Tamps.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Alta Tensión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2003</w:t>
            </w:r>
          </w:p>
        </w:tc>
        <w:tc>
          <w:tcPr>
            <w:tcW w:w="33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L.T. Zaachila - Ejutla y Zaachila - Entronque Oaxaca Potencia</w:t>
            </w:r>
          </w:p>
        </w:tc>
        <w:tc>
          <w:tcPr>
            <w:tcW w:w="18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Oaxaca, México</w:t>
            </w:r>
          </w:p>
        </w:tc>
        <w:tc>
          <w:tcPr>
            <w:tcW w:w="16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Alta Tensión</w:t>
            </w:r>
          </w:p>
        </w:tc>
        <w:tc>
          <w:tcPr>
            <w:tcW w:w="2000" w:type="dxa"/>
            <w:shd w:val="clear" w:fill="F8FAFC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  <w:tr>
        <w:tc>
          <w:tcPr>
            <w:tcW w:w="9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center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2003</w:t>
            </w:r>
          </w:p>
        </w:tc>
        <w:tc>
          <w:tcPr>
            <w:tcW w:w="33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Construcción L.T. El Salto - Teotihuacán y L.T. Tres Estrellas - Poza Rica II</w:t>
            </w:r>
          </w:p>
        </w:tc>
        <w:tc>
          <w:tcPr>
            <w:tcW w:w="18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Hidalgo y Veracruz</w:t>
            </w:r>
          </w:p>
        </w:tc>
        <w:tc>
          <w:tcPr>
            <w:tcW w:w="16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Alta Tensión</w:t>
            </w:r>
          </w:p>
        </w:tc>
        <w:tc>
          <w:tcPr>
            <w:tcW w:w="2000" w:type="dxa"/>
            <w:shd w:val="clear" w:fill="FFFFFF"/>
            <w:tcMar>
              <w:top w:w="80"/>
              <w:bottom w:w="80"/>
              <w:left w:w="100"/>
              <w:right w:w="100"/>
            </w:tcMar>
          </w:tcPr>
          <w:p>
            <w:pPr>
              <w:jc w:val="left"/>
              <w:spacing w:line="200" w:lineRule="auto"/>
            </w:pPr>
            <w:r>
              <w:rPr>
                <w:rFonts w:ascii="Segoe UI"/>
                <w:color w:val="334155"/>
                <w:sz w:val="16"/>
              </w:rPr>
              <w:t>CFE Transmisión</w:t>
            </w:r>
          </w:p>
        </w:tc>
      </w:tr>
    </w:tbl>
    <w:p>
      <w:r>
        <w:br w:type="page"/>
      </w:r>
    </w:p>
    <w:p>
      <w:pPr>
        <w:spacing w:before="300" w:after="150"/>
      </w:pPr>
      <w:r>
        <w:rPr>
          <w:rFonts w:ascii="Segoe UI" w:hAnsi="Segoe UI"/>
          <w:b/>
          <w:color w:val="0F172A"/>
          <w:sz w:val="32"/>
        </w:rPr>
        <w:t>5. PROVEEDORES TECNOLÓGICOS &amp; MARCAS ALIADAS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Para garantizar la máxima confiabilidad en cada maniobra, subestación y central de generación, VALAN mantiene alianzas de suministro con los fabricantes líderes globales certificados por CFE (LAPEM), IEEE e IEC:</w:t>
      </w:r>
    </w:p>
    <w:p>
      <w:pPr>
        <w:spacing w:before="180" w:after="80"/>
      </w:pPr>
      <w:r>
        <w:rPr>
          <w:rFonts w:ascii="Segoe UI"/>
          <w:b/>
          <w:color w:val="0284C7"/>
          <w:sz w:val="22"/>
        </w:rPr>
        <w:t>5.1 Equipamiento Primario, Alta y Media Tensión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• Marcas Líderes: SIEMENS, ABB, SCHNEIDER ELECTRIC, SEL (Schweitzer Engineering Laboratories), CONDUMEX, VIAKON, IUSA, DEACERO, ARTECHE, CONESA, ANCLO, CECOHESA, ARGOS, RITTAL, CHNT (Chint Electric).</w:t>
      </w:r>
    </w:p>
    <w:p>
      <w:pPr>
        <w:spacing w:before="180" w:after="80"/>
      </w:pPr>
      <w:r>
        <w:rPr>
          <w:rFonts w:ascii="Segoe UI"/>
          <w:b/>
          <w:color w:val="0284C7"/>
          <w:sz w:val="22"/>
        </w:rPr>
        <w:t>5.2 Generación Renovable &amp; Energía Solar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• Inversores, Módulos y Estructuras: HUAWEI FUSION SOLAR, FRONIUS, SOLIS, GROWATT, SMA, TRINA SOLAR, CANADIAN SOLAR, LONGI SOLAR, SERAPHIM, K2 SYSTEMS, NOVOTEGRA, STRIPSTEEL.</w:t>
      </w:r>
    </w:p>
    <w:p>
      <w:pPr>
        <w:jc w:val="center"/>
      </w:pPr>
      <w:r>
        <w:drawing>
          <wp:inline xmlns:wp="http://schemas.openxmlformats.org/drawingml/2006/wordprocessingDrawing">
            <wp:extent cx="5334000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xmlns:r="http://schemas.openxmlformats.org/officeDocument/2006/relationships" r:embed="R1568e8beaf8d44e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0"/>
      </w:pPr>
    </w:p>
    <w:p>
      <w:pPr>
        <w:spacing w:before="180" w:after="80"/>
      </w:pPr>
      <w:r>
        <w:rPr>
          <w:rFonts w:ascii="Segoe UI"/>
          <w:b/>
          <w:color w:val="0284C7"/>
          <w:sz w:val="22"/>
        </w:rPr>
        <w:t>5.3 Telecomunicaciones, SCADA &amp; Medición Fiscal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• Conectividad y Automatización: TRILLIANT, SYSCOM, TELTONIKA, QUALISYS, B&amp;B ELECTRONICS, PCTEL, PROBE-TEC, SOITEC, RITTAL, YEALINK, YEASTAR, XORCOM, XETAWAVE, ALIANZA ENERGÉTICA DEL BAJÍO (AeB).</w:t>
      </w:r>
    </w:p>
    <w:p>
      <w:pPr>
        <w:jc w:val="center"/>
      </w:pPr>
      <w:r>
        <w:drawing>
          <wp:inline xmlns:wp="http://schemas.openxmlformats.org/drawingml/2006/wordprocessingDrawing">
            <wp:extent cx="5334000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xmlns:r="http://schemas.openxmlformats.org/officeDocument/2006/relationships" r:embed="R382373dea5554a4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300" w:after="150"/>
      </w:pPr>
      <w:r>
        <w:rPr>
          <w:rFonts w:ascii="Segoe UI" w:hAnsi="Segoe UI"/>
          <w:b/>
          <w:color w:val="0F172A"/>
          <w:sz w:val="32"/>
        </w:rPr>
        <w:t>6. CLIENTES INSTITUCIONALES &amp; CORPORATIVOS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La solidez técnica y cumplimiento de VALAN ha sido validada por los participantes más demandantes de la industria mexicana en múltiples sectores:</w:t>
      </w:r>
    </w:p>
    <w:tbl>
      <w:tblPr>
        <w:tblW w:w="9600" w:type="dxa"/>
        <w:jc w:val="center"/>
        <w:tblBorders>
          <w:top w:val="single" w:color="CBD5E1" w:sz="6"/>
          <w:bottom w:val="single" w:color="CBD5E1" w:sz="6"/>
          <w:left w:val="single" w:color="CBD5E1" w:sz="6"/>
          <w:right w:val="single" w:color="CBD5E1" w:sz="6"/>
          <w:insideH w:val="single" w:color="CBD5E1" w:sz="4"/>
          <w:insideV w:val="single" w:color="CBD5E1" w:sz="4"/>
        </w:tblBorders>
      </w:tblPr>
      <w:tr>
        <w:tc>
          <w:tcPr>
            <w:tcW w:w="4800" w:type="dxa"/>
            <w:shd w:val="clear" w:fill="F8FAFC"/>
            <w:tcMar>
              <w:top w:w="120"/>
              <w:bottom w:w="120"/>
              <w:left w:w="180"/>
              <w:right w:w="18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18"/>
              </w:rPr>
              <w:t>GRAN MINERÍA &amp; SIDERURGIA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Grupo Peñoles (Mina La Parreña)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Grupo México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Mina Tayahua (Grupo Frisco)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Steelsa Acero</w:t>
            </w:r>
          </w:p>
        </w:tc>
        <w:tc>
          <w:tcPr>
            <w:tcW w:w="4800" w:type="dxa"/>
            <w:shd w:val="clear" w:fill="F8FAFC"/>
            <w:tcMar>
              <w:top w:w="120"/>
              <w:bottom w:w="120"/>
              <w:left w:w="180"/>
              <w:right w:w="18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18"/>
              </w:rPr>
              <w:t>MANUFACTURA &amp; AUTOMOTRIZ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FORD Motor Company (Planta Hermosillo)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CEMEX México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Cementos Apasco (Holcim)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TE Connectivity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Leoni Cable México</w:t>
            </w:r>
          </w:p>
        </w:tc>
      </w:tr>
      <w:tr>
        <w:tc>
          <w:tcPr>
            <w:tcW w:w="4800" w:type="dxa"/>
            <w:shd w:val="clear" w:fill="F8FAFC"/>
            <w:tcMar>
              <w:top w:w="120"/>
              <w:bottom w:w="120"/>
              <w:left w:w="180"/>
              <w:right w:w="18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18"/>
              </w:rPr>
              <w:t>AGROINDUSTRIA &amp; ALIMENTOS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SuKarne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Grupo Alta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Yoreme Alimentos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Agrofesa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Poly Rafia</w:t>
            </w:r>
          </w:p>
        </w:tc>
        <w:tc>
          <w:tcPr>
            <w:tcW w:w="4800" w:type="dxa"/>
            <w:shd w:val="clear" w:fill="F8FAFC"/>
            <w:tcMar>
              <w:top w:w="120"/>
              <w:bottom w:w="120"/>
              <w:left w:w="180"/>
              <w:right w:w="18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18"/>
              </w:rPr>
              <w:t>COMERCIAL, PARQUES &amp; PUERTOS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Coppel Corporativo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Parques Industriales Amistad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Inverta Desarrollos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Tecmed México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Administración Portuaria Manzanillo</w:t>
            </w:r>
          </w:p>
        </w:tc>
      </w:tr>
      <w:tr>
        <w:tc>
          <w:tcPr>
            <w:tcW w:w="4800" w:type="dxa"/>
            <w:shd w:val="clear" w:fill="F8FAFC"/>
            <w:tcMar>
              <w:top w:w="120"/>
              <w:bottom w:w="120"/>
              <w:left w:w="180"/>
              <w:right w:w="18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18"/>
              </w:rPr>
              <w:t>SECTOR ENERGÉTICO &amp; MEM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Abengoa México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Naturgy Energy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EDF Renewables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InterGen México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RIC Energy / Grupo Dragón / Thermion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Unión Energética del Noroeste (UEN)</w:t>
            </w:r>
          </w:p>
        </w:tc>
        <w:tc>
          <w:tcPr>
            <w:tcW w:w="4800" w:type="dxa"/>
            <w:shd w:val="clear" w:fill="F8FAFC"/>
            <w:tcMar>
              <w:top w:w="120"/>
              <w:bottom w:w="120"/>
              <w:left w:w="180"/>
              <w:right w:w="18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18"/>
              </w:rPr>
              <w:t>SECTOR PÚBLICO &amp; GOBIERNO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Comisión Federal de Electricidad (CFE)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Centro Nacional de Control de Energía (CENACE)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Gobierno del Estado de Sonora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SIDUR Sonora</w:t>
            </w:r>
          </w:p>
          <w:p>
            <w:pPr>
              <w:spacing w:after="20"/>
            </w:pPr>
            <w:r>
              <w:rPr>
                <w:rFonts w:ascii="Segoe UI"/>
                <w:color w:val="334155"/>
                <w:sz w:val="16"/>
              </w:rPr>
              <w:t>• Hospital General de Especialidades</w:t>
            </w:r>
          </w:p>
        </w:tc>
      </w:tr>
    </w:tbl>
    <w:p>
      <w:pPr>
        <w:spacing w:before="240" w:after="0"/>
      </w:pPr>
    </w:p>
    <w:p>
      <w:pPr>
        <w:jc w:val="center"/>
      </w:pPr>
      <w:r>
        <w:drawing>
          <wp:inline xmlns:wp="http://schemas.openxmlformats.org/drawingml/2006/wordprocessingDrawing">
            <wp:extent cx="5842000" cy="406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xmlns:r="http://schemas.openxmlformats.org/officeDocument/2006/relationships" r:embed="Rea98257b29d341dc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300" w:after="150"/>
      </w:pPr>
      <w:r>
        <w:rPr>
          <w:rFonts w:ascii="Segoe UI" w:hAnsi="Segoe UI"/>
          <w:b/>
          <w:color w:val="0F172A"/>
          <w:sz w:val="32"/>
        </w:rPr>
        <w:t>7. DIRECTORIO EJECUTIVO &amp; CONTACTO</w:t>
      </w:r>
    </w:p>
    <w:p>
      <w:pPr>
        <w:jc w:val="both"/>
        <w:spacing w:after="120" w:line="260" w:lineRule="auto"/>
      </w:pPr>
      <w:r>
        <w:rPr>
          <w:rFonts w:ascii="Segoe UI"/>
          <w:color w:val="334155"/>
          <w:sz w:val="20"/>
        </w:rPr>
        <w:t>Para atención a licitaciones, cotizaciones de proyectos, servicios de comercialización en el MEM y consultoría de Código de Red, ponemos a su disposición a nuestro equipo directivo:</w:t>
      </w:r>
    </w:p>
    <w:tbl>
      <w:tblPr>
        <w:tblW w:w="9600" w:type="dxa"/>
        <w:jc w:val="center"/>
        <w:tblBorders>
          <w:top w:val="single" w:color="0284C7" w:sz="8"/>
          <w:bottom w:val="single" w:color="0284C7" w:sz="8"/>
          <w:left w:val="none"/>
          <w:right w:val="none"/>
          <w:insideH w:val="none"/>
          <w:insideV w:val="single" w:color="CBD5E1" w:sz="4"/>
        </w:tblBorders>
      </w:tblPr>
      <w:tr>
        <w:tc>
          <w:tcPr>
            <w:tcW w:w="4800" w:type="dxa"/>
            <w:shd w:val="clear" w:fill="F8FAFC"/>
            <w:tcMar>
              <w:top w:w="200"/>
              <w:bottom w:w="200"/>
              <w:left w:w="250"/>
              <w:right w:w="25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Ing. Grisell Jaqueline Ciapara Morán</w:t>
            </w:r>
          </w:p>
          <w:p>
            <w:pPr>
              <w:spacing w:after="120"/>
            </w:pPr>
            <w:r>
              <w:rPr>
                <w:rFonts w:ascii="Segoe UI"/>
                <w:b/>
                <w:color w:val="0284C7"/>
                <w:sz w:val="18"/>
              </w:rPr>
              <w:t>Dirección Comercial</w:t>
            </w:r>
          </w:p>
          <w:p>
            <w:pPr>
              <w:jc w:val="left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Correo Electrónico:</w:t>
            </w:r>
            <w:r>
              <w:rPr>
                <w:rFonts w:ascii="Segoe UI"/>
                <w:color w:val="334155"/>
                <w:sz w:val="19"/>
              </w:rPr>
              <w:t> grisell.ciapara@pivalan.com</w:t>
            </w:r>
          </w:p>
          <w:p>
            <w:pPr>
              <w:jc w:val="left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Teléfono Celular:</w:t>
            </w:r>
            <w:r>
              <w:rPr>
                <w:rFonts w:ascii="Segoe UI"/>
                <w:color w:val="334155"/>
                <w:sz w:val="19"/>
              </w:rPr>
              <w:t> (662) 111-9888</w:t>
            </w:r>
          </w:p>
          <w:p>
            <w:pPr>
              <w:jc w:val="left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Oficina:</w:t>
            </w:r>
            <w:r>
              <w:rPr>
                <w:rFonts w:ascii="Segoe UI"/>
                <w:color w:val="334155"/>
                <w:sz w:val="19"/>
              </w:rPr>
              <w:t> (662) 212-1435</w:t>
            </w:r>
          </w:p>
        </w:tc>
        <w:tc>
          <w:tcPr>
            <w:tcW w:w="4800" w:type="dxa"/>
            <w:shd w:val="clear" w:fill="F8FAFC"/>
            <w:tcMar>
              <w:top w:w="200"/>
              <w:bottom w:w="200"/>
              <w:left w:w="250"/>
              <w:right w:w="250"/>
            </w:tcMar>
          </w:tcPr>
          <w:p>
            <w:pPr>
              <w:spacing w:after="60"/>
            </w:pPr>
            <w:r>
              <w:rPr>
                <w:rFonts w:ascii="Segoe UI"/>
                <w:b/>
                <w:color w:val="0F172A"/>
                <w:sz w:val="22"/>
              </w:rPr>
              <w:t>Judas Dojaque Urías</w:t>
            </w:r>
          </w:p>
          <w:p>
            <w:pPr>
              <w:spacing w:after="120"/>
            </w:pPr>
            <w:r>
              <w:rPr>
                <w:rFonts w:ascii="Segoe UI"/>
                <w:b/>
                <w:color w:val="0284C7"/>
                <w:sz w:val="18"/>
              </w:rPr>
              <w:t>Consultor de Proyectos</w:t>
            </w:r>
          </w:p>
          <w:p>
            <w:pPr>
              <w:jc w:val="left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Correo Electrónico:</w:t>
            </w:r>
            <w:r>
              <w:rPr>
                <w:rFonts w:ascii="Segoe UI"/>
                <w:color w:val="334155"/>
                <w:sz w:val="19"/>
              </w:rPr>
              <w:t> judas.dojaque@pivalan.com</w:t>
            </w:r>
          </w:p>
          <w:p>
            <w:pPr>
              <w:jc w:val="left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Teléfono Celular:</w:t>
            </w:r>
            <w:r>
              <w:rPr>
                <w:rFonts w:ascii="Segoe UI"/>
                <w:color w:val="334155"/>
                <w:sz w:val="19"/>
              </w:rPr>
              <w:t> (662) 412-6493</w:t>
            </w:r>
          </w:p>
          <w:p>
            <w:pPr>
              <w:jc w:val="left"/>
              <w:spacing w:after="60"/>
            </w:pPr>
            <w:r>
              <w:rPr>
                <w:rFonts w:ascii="Segoe UI"/>
                <w:b/>
                <w:color w:val="0F172A"/>
                <w:sz w:val="19"/>
              </w:rPr>
              <w:t>Oficina:</w:t>
            </w:r>
            <w:r>
              <w:rPr>
                <w:rFonts w:ascii="Segoe UI"/>
                <w:color w:val="334155"/>
                <w:sz w:val="19"/>
              </w:rPr>
              <w:t> (662) 212-1435</w:t>
            </w:r>
          </w:p>
        </w:tc>
      </w:tr>
    </w:tbl>
    <w:p>
      <w:pPr>
        <w:spacing w:before="400" w:after="0"/>
      </w:pPr>
    </w:p>
    <w:p>
      <w:pPr>
        <w:jc w:val="center"/>
        <w:spacing w:before="200" w:after="100"/>
      </w:pPr>
      <w:r>
        <w:rPr>
          <w:rFonts w:ascii="Segoe UI"/>
          <w:color w:val="64748B"/>
          <w:sz w:val="16"/>
          <w:i/>
        </w:rPr>
        <w:t>INFORMACIÓN CONFIDENCIAL &amp; PRIVILEGIADA: La información técnica, curricular y comercial contenida en este documento es propiedad exclusiva de Proveedora e Importadora VALAN S.A. de C.V. Queda estrictamente prohibida su reproducción parcial o total sin consentimiento previo por escrito. © 2026 Grupo Empresarial VALAN. Todos los derechos reservados. WWW.PIVALAN.COM</w:t>
      </w:r>
    </w:p>
    <w:sectPr>
      <w:pgSz w:w="12240" w:h="15840"/>
      <w:pgMar w:top="1080" w:right="1200" w:bottom="1080" w:left="1200"/>
    </w:sectPr>
  </w:body>
</w:document>
</file>

<file path=word/footer1.xml><?xml version="1.0" encoding="utf-8"?>
<w:ftr xmlns:w="http://schemas.openxmlformats.org/wordprocessingml/2006/main">
  <w:p>
    <w:pPr>
      <w:pBdr>
        <w:top w:val="single" w:color="CBD5E1" w:sz="4"/>
      </w:pBdr>
      <w:spacing w:before="80"/>
    </w:pPr>
    <w:r>
      <w:rPr>
        <w:rFonts w:ascii="Segoe UI"/>
        <w:color w:val="64748B"/>
        <w:sz w:val="15"/>
        <w:i/>
      </w:rPr>
      <w:t>Confidencial — Proveedora e Importadora VALAN S.A. de C.V.  |  www.pivalan.com  |  Hermosillo, Sonora</w:t>
    </w:r>
  </w:p>
</w:ftr>
</file>

<file path=word/header1.xml><?xml version="1.0" encoding="utf-8"?>
<w:hdr xmlns:w="http://schemas.openxmlformats.org/wordprocessingml/2006/main">
  <w:p>
    <w:pPr>
      <w:pBdr>
        <w:bottom w:val="single" w:color="0284C7" w:sz="6"/>
      </w:pBdr>
      <w:spacing w:after="120"/>
    </w:pPr>
    <w:r>
      <w:rPr>
        <w:rFonts w:ascii="Segoe UI"/>
        <w:b/>
        <w:color w:val="0F172A"/>
        <w:sz w:val="16"/>
      </w:rPr>
      <w:t>GRUPO EMPRESARIAL VALAN  </w:t>
    </w:r>
    <w:r>
      <w:rPr>
        <w:rFonts w:ascii="Segoe UI"/>
        <w:color w:val="64748B"/>
        <w:sz w:val="15"/>
      </w:rPr>
      <w:t>|  DOSSIER CORPORATIVO &amp; CURRÍCULUM DE OBRAS 2026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1c413f8d64574" /><Relationship Type="http://schemas.openxmlformats.org/officeDocument/2006/relationships/footer" Target="/word/footer1.xml" Id="Rbad0e4764b814a6b" /><Relationship Type="http://schemas.openxmlformats.org/officeDocument/2006/relationships/image" Target="/media/image.png" Id="R591c39a344f44442" /><Relationship Type="http://schemas.openxmlformats.org/officeDocument/2006/relationships/image" Target="/media/image2.png" Id="Rd1e1d833d8124db1" /><Relationship Type="http://schemas.openxmlformats.org/officeDocument/2006/relationships/image" Target="/media/image3.png" Id="R46e266900002460a" /><Relationship Type="http://schemas.openxmlformats.org/officeDocument/2006/relationships/image" Target="/media/image.jpg" Id="R0f27e58d57474a41" /><Relationship Type="http://schemas.openxmlformats.org/officeDocument/2006/relationships/image" Target="/media/image2.jpg" Id="Rafec048433144fd4" /><Relationship Type="http://schemas.openxmlformats.org/officeDocument/2006/relationships/image" Target="/media/image3.jpg" Id="R4ecb8f2e57c34795" /><Relationship Type="http://schemas.openxmlformats.org/officeDocument/2006/relationships/image" Target="/media/image4.jpg" Id="Rb10180036cd24421" /><Relationship Type="http://schemas.openxmlformats.org/officeDocument/2006/relationships/image" Target="/media/image5.jpg" Id="Rac1caa763fd341cf" /><Relationship Type="http://schemas.openxmlformats.org/officeDocument/2006/relationships/image" Target="/media/image6.jpg" Id="Rf8020c7e599b4359" /><Relationship Type="http://schemas.openxmlformats.org/officeDocument/2006/relationships/image" Target="/media/image4.png" Id="R1568e8beaf8d44e3" /><Relationship Type="http://schemas.openxmlformats.org/officeDocument/2006/relationships/image" Target="/media/image5.png" Id="R382373dea5554a45" /><Relationship Type="http://schemas.openxmlformats.org/officeDocument/2006/relationships/image" Target="/media/image6.png" Id="Rea98257b29d341dc" /></Relationships>
</file>